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0CC0" w14:textId="1F6E4687" w:rsidR="00202D2A" w:rsidRDefault="00202D2A" w:rsidP="00202D2A">
      <w:pPr>
        <w:spacing w:line="480" w:lineRule="auto"/>
      </w:pPr>
      <w:r w:rsidRPr="00DD7056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DD7056">
        <w:rPr>
          <w:rFonts w:ascii="Arial" w:hAnsi="Arial" w:cs="Arial"/>
          <w:sz w:val="24"/>
          <w:szCs w:val="24"/>
        </w:rPr>
        <w:t xml:space="preserve"> zawiera skan projektu uchwały na druku nr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Pr="00DD7056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Wieloletniej Prognozy Finansowej Gminy Miejskiej Kłodzko na lata 2024-2034</w:t>
      </w:r>
      <w:r>
        <w:rPr>
          <w:rFonts w:ascii="Arial" w:hAnsi="Arial" w:cs="Arial"/>
          <w:sz w:val="24"/>
          <w:szCs w:val="24"/>
        </w:rPr>
        <w:t xml:space="preserve">, </w:t>
      </w:r>
      <w:r w:rsidRPr="00DD7056">
        <w:rPr>
          <w:rFonts w:ascii="Arial" w:hAnsi="Arial" w:cs="Arial"/>
          <w:sz w:val="24"/>
          <w:szCs w:val="24"/>
        </w:rPr>
        <w:t>który został przedłożony przez Burmistrza Miasta Kłodzka</w:t>
      </w:r>
      <w:r>
        <w:rPr>
          <w:rFonts w:ascii="Arial" w:hAnsi="Arial" w:cs="Arial"/>
          <w:sz w:val="24"/>
          <w:szCs w:val="24"/>
        </w:rPr>
        <w:t>.</w:t>
      </w:r>
    </w:p>
    <w:p w14:paraId="6FB20D0B" w14:textId="77777777" w:rsidR="00202D2A" w:rsidRDefault="00202D2A" w:rsidP="00202D2A"/>
    <w:p w14:paraId="540DD7F6" w14:textId="77777777" w:rsidR="007C33FB" w:rsidRDefault="007C33FB"/>
    <w:sectPr w:rsidR="007C33FB" w:rsidSect="00EA3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24"/>
    <w:rsid w:val="00202D2A"/>
    <w:rsid w:val="00227F24"/>
    <w:rsid w:val="00523758"/>
    <w:rsid w:val="007C33FB"/>
    <w:rsid w:val="00EA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FCAB"/>
  <w15:chartTrackingRefBased/>
  <w15:docId w15:val="{8FE84B89-6D73-4C83-A51A-B2FBCFA9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2024-01-11T08:52:00Z</dcterms:created>
  <dcterms:modified xsi:type="dcterms:W3CDTF">2024-01-11T08:54:00Z</dcterms:modified>
</cp:coreProperties>
</file>