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195E" w14:textId="13EB5C68" w:rsidR="009F269C" w:rsidRPr="006A5023" w:rsidRDefault="009F269C" w:rsidP="009F269C">
      <w:pPr>
        <w:spacing w:line="360" w:lineRule="auto"/>
        <w:rPr>
          <w:rFonts w:ascii="Arial" w:hAnsi="Arial" w:cs="Arial"/>
          <w:sz w:val="24"/>
          <w:szCs w:val="24"/>
        </w:rPr>
      </w:pPr>
      <w:r w:rsidRPr="006A5023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9</w:t>
      </w:r>
      <w:r w:rsidRPr="006A5023">
        <w:rPr>
          <w:rFonts w:ascii="Arial" w:hAnsi="Arial" w:cs="Arial"/>
          <w:sz w:val="24"/>
          <w:szCs w:val="24"/>
        </w:rPr>
        <w:t xml:space="preserve"> zawiera skan dokumentu w pdf dotyczący planu pracy Komisji </w:t>
      </w:r>
      <w:r>
        <w:rPr>
          <w:rFonts w:ascii="Arial" w:hAnsi="Arial" w:cs="Arial"/>
          <w:sz w:val="24"/>
          <w:szCs w:val="24"/>
        </w:rPr>
        <w:t xml:space="preserve">Budżetu, Finansów i Polityki Gospodarczej </w:t>
      </w:r>
      <w:r w:rsidRPr="006A5023">
        <w:rPr>
          <w:rFonts w:ascii="Arial" w:hAnsi="Arial" w:cs="Arial"/>
          <w:sz w:val="24"/>
          <w:szCs w:val="24"/>
        </w:rPr>
        <w:t>na 2024 rok</w:t>
      </w:r>
    </w:p>
    <w:p w14:paraId="58A401B8" w14:textId="77777777" w:rsidR="007C33FB" w:rsidRDefault="007C33FB"/>
    <w:sectPr w:rsidR="007C33FB" w:rsidSect="0019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81"/>
    <w:rsid w:val="00196E7A"/>
    <w:rsid w:val="00523758"/>
    <w:rsid w:val="007C33FB"/>
    <w:rsid w:val="009F269C"/>
    <w:rsid w:val="00E2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13E4"/>
  <w15:chartTrackingRefBased/>
  <w15:docId w15:val="{BDC7B1DE-B65B-470F-88AF-E2C7713E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2024-01-11T08:51:00Z</dcterms:created>
  <dcterms:modified xsi:type="dcterms:W3CDTF">2024-01-11T08:52:00Z</dcterms:modified>
</cp:coreProperties>
</file>